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F4C" w:rsidRPr="00FC2F4C" w:rsidRDefault="00FC2F4C" w:rsidP="00FC2F4C">
      <w:pPr>
        <w:pStyle w:val="ConsPlusTitle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FC2F4C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МЕТОДИКА</w:t>
      </w:r>
    </w:p>
    <w:p w:rsidR="00FC2F4C" w:rsidRPr="00FC2F4C" w:rsidRDefault="00FC2F4C" w:rsidP="00FC2F4C">
      <w:pPr>
        <w:pStyle w:val="ConsPlusNormal"/>
        <w:ind w:right="-143"/>
        <w:jc w:val="center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распределения субсидий местным бюджетам на пополнение (обновление) подвижного состава общественного пассажирского автомобильного транспорта</w:t>
      </w:r>
    </w:p>
    <w:p w:rsidR="00FC2F4C" w:rsidRPr="00FC2F4C" w:rsidRDefault="00FC2F4C" w:rsidP="00FC2F4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При планировании размера субсидии местным бюджетам на пополнение (обновление) подвижного состава общественного пассажирского автомобильного транспорта (далее - приобретение автобусов) для работы на муниципальных маршрутах регулярных перевозок по регулируемым тарифам в границах муниципальных образований и на межмуниципальных маршрутах регулярных перевозок во внутриобластном сообщении по нерегулируемым тарифам с предоставлением льготного проезда размер субсидии (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суб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), предоставляемой из областного бюджета местному бюджету на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приобретению автобусов для работы по регулируемым тарифам на муниципальных маршрутах регулярных перевозок и на межмуниципальных маршрутах регулярных перевозок во внутриобластном сообщении по нерегулируемым тарифам с предоставлением льготного проезда, будет определяться по формуле:</w:t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23"/>
          <w:sz w:val="28"/>
          <w:szCs w:val="28"/>
          <w:lang w:eastAsia="ru-RU"/>
        </w:rPr>
        <w:drawing>
          <wp:inline distT="0" distB="0" distL="0" distR="0">
            <wp:extent cx="2183130" cy="429260"/>
            <wp:effectExtent l="0" t="0" r="7620" b="889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3130" cy="42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i - марки приобретаемых автобусов;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F4C">
        <w:rPr>
          <w:rFonts w:ascii="Times New Roman" w:hAnsi="Times New Roman" w:cs="Times New Roman"/>
          <w:sz w:val="28"/>
          <w:szCs w:val="28"/>
        </w:rPr>
        <w:t>N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авт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- планируемое в текущем или очередном финансовом году для приобретения количество автобусов по каждой i-й марке, указанное в заявке муниципального образования;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авт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- планируемая стоимость приобретения одной единицы автобуса по каждой i-й марке;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54330" cy="270510"/>
            <wp:effectExtent l="0" t="0" r="762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приобретения одной единицы автобуса для работы по регулируемым тарифам на муниципальных маршрутах регулярных перевозок в границах муниципальных образований, который устанавливается в размере от 0 до 80 процентов от стоимости одной единицы автобуса и определяется по формуле:</w:t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2025015" cy="27051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501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F4C">
        <w:rPr>
          <w:rFonts w:ascii="Times New Roman" w:hAnsi="Times New Roman" w:cs="Times New Roman"/>
          <w:sz w:val="28"/>
          <w:szCs w:val="28"/>
        </w:rPr>
        <w:t>К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- коэффициент, равный не более 50% стоимости приобретения одной единицы автобуса для работы по регулируемым тарифам на муниципальных маршрутах регулярных перевозок в границах муниципальных образований;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lastRenderedPageBreak/>
        <w:t>К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пов1</w:t>
      </w:r>
      <w:r w:rsidRPr="00FC2F4C">
        <w:rPr>
          <w:rFonts w:ascii="Times New Roman" w:hAnsi="Times New Roman" w:cs="Times New Roman"/>
          <w:sz w:val="28"/>
          <w:szCs w:val="28"/>
        </w:rPr>
        <w:t xml:space="preserve"> - повышающий коэффициент, равный не более 10% стоимости приобретения одной единицы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низкопольного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автобуса, адаптированного для перевозки маломобильных групп населения;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К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пов2</w:t>
      </w:r>
      <w:r w:rsidRPr="00FC2F4C">
        <w:rPr>
          <w:rFonts w:ascii="Times New Roman" w:hAnsi="Times New Roman" w:cs="Times New Roman"/>
          <w:sz w:val="28"/>
          <w:szCs w:val="28"/>
        </w:rPr>
        <w:t xml:space="preserve"> - повышающий коэффициент, равный не более 10% стоимости приобретения одной единицы автобуса с улучшенными экологическими характеристиками, работающего на газомоторном топливе (кроме компримированного природного газа - метана), или равный не более 20% стоимости приобретения одной единицы автобуса, на котором в качестве топлива применяется компримированный природный газ (метан).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В случае приобретения автобусов по муниципальным контрактам (договорам) на оказание услуг по финансовой аренде (лизингу) размер субсидии (</w:t>
      </w:r>
      <w:r w:rsidRPr="00FC2F4C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17500" cy="242570"/>
            <wp:effectExtent l="0" t="0" r="6350" b="508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500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), предоставляемой из областного бюджета местному бюджету на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расходных обязательств по приобретению автобусов по муниципальным контрактам (договорам) на оказание услуг по финансовой аренде (лизингу) для работы по регулируемым тарифам на муниципальных маршрутах регулярных перевозок и на межмуниципальных маршрутах регулярных перевозок во внутриобластном сообщении по нерегулируемым тарифам с предоставлением льготного проезда, будет определяться по формуле:</w:t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1417955" cy="27051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7955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л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- цена заключенного муниципального контракта (договора) на оказание услуг по финансовой аренде (лизингу) в текущем финансовом году;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54330" cy="270510"/>
            <wp:effectExtent l="0" t="0" r="762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приобретения автобусов по муниципальному контракту (договору) на оказание услуг по финансовой аренде (лизингу) для работы по регулируемым тарифам на муниципальных маршрутах регулярных перевозок в границах муниципальных образований, который устанавливается в размере от 0 до 80 процентов от стоимости одной единицы автобуса и определяется по формуле:</w:t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2071370" cy="270510"/>
            <wp:effectExtent l="0" t="0" r="508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137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2821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FC2F4C">
        <w:rPr>
          <w:rFonts w:ascii="Times New Roman" w:hAnsi="Times New Roman" w:cs="Times New Roman"/>
          <w:sz w:val="28"/>
          <w:szCs w:val="28"/>
        </w:rPr>
        <w:t>К</w:t>
      </w:r>
      <w:r w:rsidRPr="00FC2F4C">
        <w:rPr>
          <w:rFonts w:ascii="Times New Roman" w:hAnsi="Times New Roman" w:cs="Times New Roman"/>
          <w:sz w:val="28"/>
          <w:szCs w:val="28"/>
          <w:vertAlign w:val="subscript"/>
        </w:rPr>
        <w:t>осн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- коэффициент, равный не более 50% стоимости приобретения автобусов по муниципальному контракту (договору) на оказание услуг по финансовой аренде (лизингу) для работы по регулируемым тарифам на муниципальных маршрутах регулярных перевозок в границах муниципальных образований;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63855" cy="242570"/>
            <wp:effectExtent l="0" t="0" r="0" b="508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855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- повышающий коэффициент, равный не более 10% цены муниципального контракта (договора) на оказание услуг по финансовой аренде (лизингу)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lastRenderedPageBreak/>
        <w:t>низкопольного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автобуса, адаптированного для перевозки маломобильных групп населения;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noProof/>
          <w:position w:val="-9"/>
          <w:sz w:val="28"/>
          <w:szCs w:val="28"/>
          <w:lang w:eastAsia="ru-RU"/>
        </w:rPr>
        <w:drawing>
          <wp:inline distT="0" distB="0" distL="0" distR="0">
            <wp:extent cx="382270" cy="242570"/>
            <wp:effectExtent l="0" t="0" r="0" b="508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" cy="242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- повышающий коэффициент, равный не более 10% цены муниципального контракта (договора) на оказание услуг по финансовой аренде (лизингу) автобуса с улучшенными экологическими характеристиками, работающего на газомоторном топливе (кроме компримированного природного газа - метана), или равный не более 20% цены муниципального контракта (договора) на оказание услуг по финансовой аренде (лизингу) автобуса, на котором в качестве топлива применяется компримированный природный газ (метан).</w:t>
      </w:r>
    </w:p>
    <w:p w:rsidR="00FC2F4C" w:rsidRPr="00FC2F4C" w:rsidRDefault="00FC2F4C" w:rsidP="002821F5">
      <w:pPr>
        <w:autoSpaceDE w:val="0"/>
        <w:autoSpaceDN w:val="0"/>
        <w:adjustRightInd w:val="0"/>
        <w:spacing w:before="200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 xml:space="preserve">В случае приобретения автобусов для работы по нерегулируемым тарифам на межмуниципальных маршрутах регулярных перевозок во внутриобластном сообщении с предоставлением льготного проезда коэффициент </w:t>
      </w:r>
      <w:proofErr w:type="spellStart"/>
      <w:r w:rsidRPr="00FC2F4C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FC2F4C">
        <w:rPr>
          <w:rFonts w:ascii="Times New Roman" w:hAnsi="Times New Roman" w:cs="Times New Roman"/>
          <w:sz w:val="28"/>
          <w:szCs w:val="28"/>
        </w:rPr>
        <w:t xml:space="preserve"> приобретения одной единицы автобуса </w:t>
      </w: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54330" cy="270510"/>
            <wp:effectExtent l="0" t="0" r="762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или цены муниципального контракта (договора) на оказание услуг по финансовой аренде (лизингу) </w:t>
      </w:r>
      <w:r w:rsidRPr="00FC2F4C">
        <w:rPr>
          <w:rFonts w:ascii="Times New Roman" w:hAnsi="Times New Roman" w:cs="Times New Roman"/>
          <w:noProof/>
          <w:position w:val="-11"/>
          <w:sz w:val="28"/>
          <w:szCs w:val="28"/>
          <w:lang w:eastAsia="ru-RU"/>
        </w:rPr>
        <w:drawing>
          <wp:inline distT="0" distB="0" distL="0" distR="0">
            <wp:extent cx="354330" cy="27051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" cy="270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C2F4C">
        <w:rPr>
          <w:rFonts w:ascii="Times New Roman" w:hAnsi="Times New Roman" w:cs="Times New Roman"/>
          <w:sz w:val="28"/>
          <w:szCs w:val="28"/>
        </w:rPr>
        <w:t xml:space="preserve"> равен не более 30%.</w:t>
      </w:r>
    </w:p>
    <w:p w:rsidR="00FC2F4C" w:rsidRPr="00FC2F4C" w:rsidRDefault="00FC2F4C" w:rsidP="002821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Отбор муниципальных образований Новосибирской области для предоставления субсидии на обновление (пополнение) автобусов для работы на муниципальных маршрутах регулярных перевозок по регулируемым тарифам в границах муниципальных образований и на межмуниципальных маршрутах регулярных перевозок во внутриобластном сообщении по нерегулируемым тарифам с предоставлением услуг отдельным категориям граждан, имеющим право на меры социальной поддержки при проезде на транспорте в соответствии с действующими нормативными правовыми актами Российской Федерации и Новосибирской области (далее - с предоставлением льготного проезда), производится по следующим критериям:</w:t>
      </w:r>
    </w:p>
    <w:p w:rsidR="00FC2F4C" w:rsidRPr="00FC2F4C" w:rsidRDefault="00FC2F4C" w:rsidP="002821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1) наличие нормативного правового акта муниципального образования, устанавливающего расходное обязательство муниципального образования по обновлению (пополнению) автобусов, на исполнение которого предоставляется субсидия;</w:t>
      </w:r>
    </w:p>
    <w:p w:rsidR="00FC2F4C" w:rsidRPr="00FC2F4C" w:rsidRDefault="00FC2F4C" w:rsidP="002821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2) автобусы, приобретаемые с учетом субсидии, предоставляемой из областного бюджета Новосибирской области местному бюджету, размер которой определяется в соответствии с настоящим Порядком, должны использоваться для работы на муниципальных или межмуниципальных маршрутах регулярных перевозок во внутриобластном сообщении с предоставлением льготного проезда в соответствии с реестром межмуниципальных маршрутов регулярных перевозок на территории Новосибирской области;</w:t>
      </w:r>
    </w:p>
    <w:p w:rsidR="00FC2F4C" w:rsidRPr="00FC2F4C" w:rsidRDefault="00FC2F4C" w:rsidP="002821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>3) год изготовления (выпуска) приобретаемых автобусов должен быть не ранее года, предшествующего году действия заключенного Соглашения о предоставлении субсидии;</w:t>
      </w:r>
    </w:p>
    <w:p w:rsidR="00FC2F4C" w:rsidRPr="00FC2F4C" w:rsidRDefault="00FC2F4C" w:rsidP="002821F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F4C">
        <w:rPr>
          <w:rFonts w:ascii="Times New Roman" w:hAnsi="Times New Roman" w:cs="Times New Roman"/>
          <w:sz w:val="28"/>
          <w:szCs w:val="28"/>
        </w:rPr>
        <w:t xml:space="preserve">4) в случае приобретения автобусов для работы на межмуниципальных маршрутах регулярных перевозок во внутриобластном сообщении по </w:t>
      </w:r>
      <w:r w:rsidRPr="00FC2F4C">
        <w:rPr>
          <w:rFonts w:ascii="Times New Roman" w:hAnsi="Times New Roman" w:cs="Times New Roman"/>
          <w:sz w:val="28"/>
          <w:szCs w:val="28"/>
        </w:rPr>
        <w:lastRenderedPageBreak/>
        <w:t>нерегулируемым тарифам с предоставлением права льготного проезда - наличие договора о предоставлении субсидии из областного бюджета Новосибирской области в целях возмещения недополученных доходов, возникающих в результате предоставления льготного проезда, заключенного между перевозчиком и Минтрансом НСО.</w:t>
      </w:r>
    </w:p>
    <w:p w:rsidR="00FC2F4C" w:rsidRPr="00FC2F4C" w:rsidRDefault="00FC2F4C" w:rsidP="00FC2F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2F4C" w:rsidRDefault="00FC2F4C" w:rsidP="00FC2F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FC2F4C" w:rsidRPr="00FC2F4C" w:rsidRDefault="00FC2F4C" w:rsidP="00FC2F4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A2220E" w:rsidRDefault="00A2220E" w:rsidP="00A2220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. министра транспорта и дорожного</w:t>
      </w:r>
    </w:p>
    <w:p w:rsidR="00A2220E" w:rsidRDefault="00A2220E" w:rsidP="00A2220E">
      <w:pPr>
        <w:pStyle w:val="a3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хозяйства Новосибирской области                                                           </w:t>
      </w:r>
      <w:r w:rsidR="00961E0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bookmarkStart w:id="0" w:name="_GoBack"/>
      <w:bookmarkEnd w:id="0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Е.В. Тюрин</w:t>
      </w:r>
    </w:p>
    <w:p w:rsidR="00BD6C0F" w:rsidRPr="00FC2F4C" w:rsidRDefault="00BD6C0F" w:rsidP="00FC2F4C">
      <w:pPr>
        <w:rPr>
          <w:rFonts w:ascii="Times New Roman" w:hAnsi="Times New Roman" w:cs="Times New Roman"/>
          <w:sz w:val="28"/>
          <w:szCs w:val="28"/>
        </w:rPr>
      </w:pPr>
    </w:p>
    <w:sectPr w:rsidR="00BD6C0F" w:rsidRPr="00FC2F4C" w:rsidSect="009B6F4A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0D15"/>
    <w:rsid w:val="002821F5"/>
    <w:rsid w:val="00320D15"/>
    <w:rsid w:val="00961E0F"/>
    <w:rsid w:val="00A2220E"/>
    <w:rsid w:val="00BD6C0F"/>
    <w:rsid w:val="00FC2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AA8F9D"/>
  <w15:chartTrackingRefBased/>
  <w15:docId w15:val="{3845FF14-D291-479C-A1F4-6AE5F25C9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C2F4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FC2F4C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character" w:customStyle="1" w:styleId="ConsPlusNormal0">
    <w:name w:val="ConsPlusNormal Знак"/>
    <w:link w:val="ConsPlusNormal"/>
    <w:locked/>
    <w:rsid w:val="00FC2F4C"/>
    <w:rPr>
      <w:rFonts w:ascii="Arial" w:eastAsiaTheme="minorEastAsia" w:hAnsi="Arial" w:cs="Arial"/>
      <w:sz w:val="20"/>
      <w:lang w:eastAsia="ru-RU"/>
    </w:rPr>
  </w:style>
  <w:style w:type="paragraph" w:styleId="a3">
    <w:name w:val="No Spacing"/>
    <w:uiPriority w:val="1"/>
    <w:qFormat/>
    <w:rsid w:val="00FC2F4C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1E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61E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74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3" Type="http://schemas.openxmlformats.org/officeDocument/2006/relationships/webSettings" Target="webSettings.xml"/><Relationship Id="rId7" Type="http://schemas.openxmlformats.org/officeDocument/2006/relationships/image" Target="media/image4.wmf"/><Relationship Id="rId12" Type="http://schemas.openxmlformats.org/officeDocument/2006/relationships/image" Target="media/image9.wm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wmf"/><Relationship Id="rId11" Type="http://schemas.openxmlformats.org/officeDocument/2006/relationships/image" Target="media/image8.wmf"/><Relationship Id="rId5" Type="http://schemas.openxmlformats.org/officeDocument/2006/relationships/image" Target="media/image2.wmf"/><Relationship Id="rId15" Type="http://schemas.openxmlformats.org/officeDocument/2006/relationships/fontTable" Target="fontTable.xml"/><Relationship Id="rId10" Type="http://schemas.openxmlformats.org/officeDocument/2006/relationships/image" Target="media/image7.wmf"/><Relationship Id="rId4" Type="http://schemas.openxmlformats.org/officeDocument/2006/relationships/image" Target="media/image1.wmf"/><Relationship Id="rId9" Type="http://schemas.openxmlformats.org/officeDocument/2006/relationships/image" Target="media/image6.wmf"/><Relationship Id="rId14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1040</Words>
  <Characters>5930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Александрова Элина Владимировна</dc:creator>
  <cp:keywords/>
  <dc:description/>
  <cp:lastModifiedBy>Александрова Элина Владимировна</cp:lastModifiedBy>
  <cp:revision>5</cp:revision>
  <cp:lastPrinted>2025-10-17T07:19:00Z</cp:lastPrinted>
  <dcterms:created xsi:type="dcterms:W3CDTF">2025-10-17T06:11:00Z</dcterms:created>
  <dcterms:modified xsi:type="dcterms:W3CDTF">2025-10-17T07:19:00Z</dcterms:modified>
</cp:coreProperties>
</file>